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cs="宋体"/>
        </w:rPr>
      </w:pPr>
      <w:r>
        <w:rPr>
          <w:rFonts w:hint="eastAsia" w:ascii="宋体" w:hAnsi="宋体" w:cs="宋体"/>
        </w:rPr>
        <w:t>附件2：声明书</w:t>
      </w:r>
    </w:p>
    <w:p>
      <w:pPr>
        <w:spacing w:line="360" w:lineRule="auto"/>
        <w:jc w:val="center"/>
        <w:rPr>
          <w:rFonts w:ascii="宋体" w:hAnsi="宋体" w:cs="宋体"/>
          <w:bCs/>
          <w:color w:val="000000"/>
          <w:spacing w:val="20"/>
          <w:sz w:val="32"/>
          <w:szCs w:val="32"/>
        </w:rPr>
      </w:pPr>
      <w:r>
        <w:rPr>
          <w:rFonts w:hint="eastAsia" w:ascii="宋体" w:hAnsi="宋体" w:cs="宋体"/>
          <w:bCs/>
          <w:color w:val="000000"/>
          <w:spacing w:val="20"/>
          <w:sz w:val="32"/>
          <w:szCs w:val="32"/>
        </w:rPr>
        <w:t>声明书</w:t>
      </w:r>
    </w:p>
    <w:p>
      <w:pPr>
        <w:spacing w:line="520" w:lineRule="exact"/>
        <w:rPr>
          <w:rFonts w:ascii="宋体" w:hAnsi="宋体"/>
          <w:color w:val="000000"/>
          <w:sz w:val="28"/>
          <w:szCs w:val="28"/>
          <w:u w:val="single"/>
        </w:rPr>
      </w:pPr>
      <w:r>
        <w:rPr>
          <w:rFonts w:hint="eastAsia" w:ascii="宋体" w:hAnsi="宋体"/>
          <w:color w:val="000000"/>
          <w:sz w:val="28"/>
          <w:szCs w:val="28"/>
          <w:u w:val="single"/>
        </w:rPr>
        <w:t>南通港集团建设投资有限公司：</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我方收到你方南通港小庙洪上延航道工程可行性研究专题补充报告编制项目采购文件，经仔细阅读和研究，我们决定参加。</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1、我们愿意按照采购文件的一切要求提供服务。</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2、如果我们的响应文件被接受，我们将严格履行采购文件中规定的每一项要求，按期、按质、按量履行服务。</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采购活动前三年内，我公司在经营活动中无重大违法违规记录，否则，你方有权拒绝我方成为成交供应商。（如我单位中标，在合同履行期间发现有重大违法违规记录，你方可直接解除合同）</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4、我们同意按采购文件中的规定，本响应文件的有效期限为评审后90天。</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5、我们愿意提供采购人在采购文件中要求的所有资料。</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6、我方愿意遵守采购文件中所列的报价方式。</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8、我们愿意按照《中华人民共和国合同法》履行自己应该承担的全部责任。</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spacing w:line="360" w:lineRule="auto"/>
        <w:ind w:firstLine="560" w:firstLineChars="200"/>
        <w:rPr>
          <w:rFonts w:ascii="宋体" w:hAnsi="宋体" w:cs="宋体"/>
          <w:bCs/>
          <w:color w:val="000000"/>
          <w:sz w:val="28"/>
          <w:szCs w:val="28"/>
        </w:rPr>
      </w:pPr>
    </w:p>
    <w:p>
      <w:pPr>
        <w:pStyle w:val="6"/>
        <w:overflowPunct w:val="0"/>
        <w:spacing w:line="360" w:lineRule="auto"/>
        <w:ind w:firstLine="0"/>
        <w:rPr>
          <w:rFonts w:ascii="宋体" w:hAnsi="宋体" w:eastAsia="宋体" w:cs="宋体"/>
          <w:bCs/>
          <w:color w:val="000000"/>
          <w:sz w:val="28"/>
          <w:szCs w:val="28"/>
        </w:rPr>
      </w:pPr>
      <w:r>
        <w:rPr>
          <w:rFonts w:hint="eastAsia" w:ascii="宋体" w:hAnsi="宋体" w:eastAsia="宋体" w:cs="宋体"/>
          <w:bCs/>
          <w:color w:val="000000"/>
          <w:sz w:val="28"/>
          <w:szCs w:val="28"/>
        </w:rPr>
        <w:t>供应商（单位盖章）：</w:t>
      </w:r>
    </w:p>
    <w:p>
      <w:pPr>
        <w:pStyle w:val="6"/>
        <w:overflowPunct w:val="0"/>
        <w:spacing w:line="360" w:lineRule="auto"/>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6"/>
        <w:tabs>
          <w:tab w:val="left" w:pos="540"/>
        </w:tabs>
        <w:overflowPunct w:val="0"/>
        <w:ind w:firstLine="0"/>
        <w:rPr>
          <w:rFonts w:ascii="宋体" w:hAnsi="宋体"/>
          <w:sz w:val="28"/>
          <w:szCs w:val="28"/>
        </w:rPr>
      </w:pPr>
      <w:r>
        <w:rPr>
          <w:rFonts w:hint="eastAsia" w:ascii="宋体" w:hAnsi="宋体" w:eastAsia="宋体" w:cs="宋体"/>
          <w:bCs/>
          <w:color w:val="000000"/>
          <w:sz w:val="28"/>
          <w:szCs w:val="28"/>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67111"/>
    <w:rsid w:val="1E66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260" w:after="260" w:line="416" w:lineRule="auto"/>
      <w:jc w:val="left"/>
      <w:outlineLvl w:val="1"/>
    </w:pPr>
    <w:rPr>
      <w:rFonts w:ascii="Arial" w:hAnsi="Arial"/>
      <w:b/>
      <w:bCs/>
      <w:sz w:val="28"/>
      <w:szCs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2020-10-29T07:11:00Z</dcterms:created>
  <dc:creator>QwQ</dc:creator>
  <cp:lastModifiedBy>QwQ</cp:lastModifiedBy>
  <dcterms:modified xsi:type="dcterms:W3CDTF">2020-10-29T07:11:49Z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